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附件1：</w:t>
      </w:r>
    </w:p>
    <w:p>
      <w:pPr>
        <w:spacing w:line="400" w:lineRule="exact"/>
        <w:ind w:firstLine="600" w:firstLineChars="200"/>
        <w:jc w:val="center"/>
        <w:rPr>
          <w:rFonts w:hint="eastAsia" w:ascii="方正小标宋简体" w:hAnsi="华文中宋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0"/>
          <w:szCs w:val="30"/>
        </w:rPr>
        <w:t>校园超市违约扣款标准</w:t>
      </w:r>
    </w:p>
    <w:bookmarkEnd w:id="0"/>
    <w:tbl>
      <w:tblPr>
        <w:tblStyle w:val="2"/>
        <w:tblpPr w:leftFromText="180" w:rightFromText="180" w:vertAnchor="text" w:horzAnchor="margin" w:tblpX="105" w:tblpY="306"/>
        <w:tblW w:w="893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4536"/>
        <w:gridCol w:w="32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45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检查内容</w:t>
            </w:r>
          </w:p>
        </w:tc>
        <w:tc>
          <w:tcPr>
            <w:tcW w:w="32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扣款标准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1.相关岗位人员是否有健康证；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2.服装统一，胸牌佩戴在工作服左胸上；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3.微笑服务，主动热情，不得与师生发生任何肢体冲突。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检查不符合要求，其中第3条300元/项；其余20元/项；同一项目出现第二次，加倍扣款，以此类推。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所要求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1.店名店招醒目，营业时间、各类标识标牌清楚；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2.是否公示《营业执照》《食品流通许可证》《公共场所卫生许可证》《税务登记》等；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3.商品按要求分类贮存，严禁乱堆乱放；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4.三包区域、卖场货架及商品干净整洁、通道畅通无堆积纸箱；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5.是否按照学校保卫部门要求配备相应的消防器材，并接受经营场所消防安全检查;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6.经营场所是否饲养遛放宠物。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检查不符合要求，其中第6条100元/项；其余20元/项；同一项目出现第二次，加倍扣款，以此类推。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9" w:hRule="atLeast"/>
        </w:trPr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理要求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1.经营范围是否符合合同要求；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2.是否有经营伪劣假冒、无包装或标识的商品；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3.是否根据主管部门对周边高校比价结果进行调价；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4.是否建立索证索票制度，所售出商品是否提供购物小票或发票；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5.送货车辆是否按指定路线低速行驶、停靠，有无乱鸣笛情况；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6.各种用电设备是否安全，有无私拉乱接，擅自对水、电、暖负荷、用途、计量设施进行改动的行为；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7.是否按要求配备电子监控设备、基本制冷、制热设备；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8.有无在经营场所内外私搭乱建情况；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9.是否落实政府行政部门、后勤服务中心和师生代表提出的整改要求；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10.投诉整改是否达到要求。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检查不符合要求，其中第2、6条，300元/次；其余20元/项。同一项目出现第二次，加倍扣款，以此类推。</w:t>
            </w:r>
          </w:p>
        </w:tc>
      </w:tr>
    </w:tbl>
    <w:p>
      <w:pPr>
        <w:spacing w:line="400" w:lineRule="exact"/>
        <w:ind w:firstLine="420" w:firstLineChars="200"/>
      </w:pPr>
      <w:r>
        <w:rPr>
          <w:rFonts w:ascii="华文中宋" w:hAnsi="华文中宋" w:eastAsia="华文中宋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5611A"/>
    <w:rsid w:val="65D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2019-11-06T09:46:00Z</dcterms:created>
  <dc:creator>Elegance1369187714</dc:creator>
  <cp:lastModifiedBy>Elegance1369187714</cp:lastModifiedBy>
  <dcterms:modified xsi:type="dcterms:W3CDTF">2019-11-06T09:47:15Z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